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rPr>
          <w:rFonts w:ascii="Times New Roman" w:hAnsi="Times New Roman"/>
          <w:sz w:val="26"/>
        </w:rPr>
      </w:pPr>
    </w:p>
    <w:p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ПРОГРАММА</w:t>
      </w:r>
    </w:p>
    <w:p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вебинара</w:t>
      </w:r>
      <w:r>
        <w:rPr>
          <w:rFonts w:ascii="Times New Roman" w:hAnsi="Times New Roman"/>
          <w:sz w:val="28"/>
          <w:szCs w:val="28"/>
        </w:rPr>
        <w:t xml:space="preserve"> на тему: «</w:t>
      </w:r>
      <w:r>
        <w:rPr>
          <w:rFonts w:ascii="Times New Roman" w:hAnsi="Times New Roman"/>
          <w:sz w:val="28"/>
          <w:szCs w:val="28"/>
        </w:rPr>
        <w:t xml:space="preserve">Государственная регистрация ИП: открытие и прекращение» </w:t>
      </w:r>
      <w:bookmarkStart w:id="0" w:name="_GoBack"/>
      <w:bookmarkEnd w:id="0"/>
    </w:p>
    <w:p>
      <w:pPr>
        <w:jc w:val="center"/>
        <w:rPr>
          <w:rFonts w:ascii="Times New Roman" w:hAnsi="Times New Roman"/>
          <w:b/>
          <w:color w:val="auto"/>
          <w:sz w:val="28"/>
          <w:szCs w:val="28"/>
          <w:u w:val="single"/>
        </w:rPr>
      </w:pPr>
      <w:r>
        <w:rPr>
          <w:rFonts w:ascii="Times New Roman" w:hAnsi="Times New Roman"/>
          <w:b/>
          <w:color w:val="auto"/>
          <w:sz w:val="28"/>
          <w:szCs w:val="28"/>
          <w:u w:val="single"/>
        </w:rPr>
        <w:t xml:space="preserve">28</w:t>
      </w:r>
      <w:r>
        <w:rPr>
          <w:rFonts w:ascii="Times New Roman" w:hAnsi="Times New Roman"/>
          <w:b/>
          <w:color w:val="auto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b/>
          <w:color w:val="auto"/>
          <w:sz w:val="28"/>
          <w:szCs w:val="28"/>
          <w:u w:val="single"/>
        </w:rPr>
        <w:t xml:space="preserve">ноября</w:t>
      </w:r>
      <w:r>
        <w:rPr>
          <w:rFonts w:ascii="Times New Roman" w:hAnsi="Times New Roman"/>
          <w:b/>
          <w:color w:val="auto"/>
          <w:sz w:val="28"/>
          <w:szCs w:val="28"/>
          <w:u w:val="single"/>
        </w:rPr>
        <w:t xml:space="preserve"> 2025 года в 11:00</w:t>
      </w:r>
    </w:p>
    <w:p>
      <w:pPr>
        <w:jc w:val="center"/>
        <w:rPr>
          <w:rFonts w:ascii="Times New Roman" w:hAnsi="Times New Roman"/>
          <w:b/>
          <w:sz w:val="26"/>
          <w:u w:val="single"/>
        </w:rPr>
      </w:pPr>
    </w:p>
    <w:tbl>
      <w:tblPr>
        <w:tblW w:w="0" w:type="auto"/>
        <w:tblInd w:w="-17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588"/>
        <w:gridCol w:w="3665"/>
        <w:gridCol w:w="1701"/>
        <w:gridCol w:w="3793"/>
      </w:tblGrid>
      <w:tr>
        <w:tc>
          <w:tcPr>
            <w:tcW w:w="588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b/>
                <w:sz w:val="26"/>
              </w:rPr>
            </w:pPr>
            <w:r>
              <w:rPr>
                <w:rFonts w:ascii="Times New Roman" w:hAnsi="Times New Roman"/>
                <w:b/>
                <w:sz w:val="26"/>
              </w:rPr>
              <w:t xml:space="preserve">№</w:t>
            </w:r>
          </w:p>
          <w:p>
            <w:pPr>
              <w:jc w:val="center"/>
              <w:rPr>
                <w:rFonts w:ascii="Times New Roman" w:hAnsi="Times New Roman"/>
                <w:b/>
                <w:sz w:val="26"/>
              </w:rPr>
            </w:pPr>
            <w:r>
              <w:rPr>
                <w:rFonts w:ascii="Times New Roman" w:hAnsi="Times New Roman"/>
                <w:b/>
                <w:sz w:val="26"/>
              </w:rPr>
              <w:t xml:space="preserve">п</w:t>
            </w:r>
            <w:r>
              <w:rPr>
                <w:rFonts w:ascii="Times New Roman" w:hAnsi="Times New Roman"/>
                <w:b/>
                <w:sz w:val="26"/>
              </w:rPr>
              <w:t xml:space="preserve">/п</w:t>
            </w:r>
          </w:p>
        </w:tc>
        <w:tc>
          <w:tcPr>
            <w:tcW w:w="3665" w:type="dxa"/>
            <w:shd w:val="clear" w:color="auto" w:fill="auto"/>
            <w:vAlign w:val="center"/>
          </w:tcPr>
          <w:p>
            <w:pPr>
              <w:rPr>
                <w:rFonts w:ascii="Times New Roman" w:hAnsi="Times New Roman"/>
                <w:b/>
                <w:sz w:val="26"/>
              </w:rPr>
            </w:pPr>
            <w:r>
              <w:rPr>
                <w:rFonts w:ascii="Times New Roman" w:hAnsi="Times New Roman"/>
                <w:b/>
                <w:sz w:val="26"/>
              </w:rPr>
              <w:t xml:space="preserve">Рассматриваемые вопросы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b/>
                <w:sz w:val="26"/>
              </w:rPr>
            </w:pPr>
          </w:p>
          <w:p>
            <w:pPr>
              <w:jc w:val="center"/>
              <w:rPr>
                <w:rFonts w:ascii="Times New Roman" w:hAnsi="Times New Roman"/>
                <w:b/>
                <w:sz w:val="26"/>
              </w:rPr>
            </w:pPr>
            <w:r>
              <w:rPr>
                <w:rFonts w:ascii="Times New Roman" w:hAnsi="Times New Roman"/>
                <w:b/>
                <w:sz w:val="26"/>
              </w:rPr>
              <w:t xml:space="preserve">Регламент</w:t>
            </w:r>
          </w:p>
          <w:p>
            <w:pPr>
              <w:jc w:val="center"/>
              <w:rPr>
                <w:rFonts w:ascii="Times New Roman" w:hAnsi="Times New Roman"/>
                <w:b/>
                <w:sz w:val="26"/>
              </w:rPr>
            </w:pPr>
          </w:p>
        </w:tc>
        <w:tc>
          <w:tcPr>
            <w:tcW w:w="3793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b/>
                <w:sz w:val="26"/>
              </w:rPr>
            </w:pPr>
            <w:r>
              <w:rPr>
                <w:rFonts w:ascii="Times New Roman" w:hAnsi="Times New Roman"/>
                <w:b/>
                <w:sz w:val="26"/>
              </w:rPr>
              <w:t xml:space="preserve">Докладчик</w:t>
            </w:r>
          </w:p>
        </w:tc>
      </w:tr>
      <w:tr>
        <w:tc>
          <w:tcPr>
            <w:tcW w:w="588" w:type="dxa"/>
            <w:shd w:val="clear" w:color="auto" w:fill="auto"/>
          </w:tcPr>
          <w:p>
            <w:pPr>
              <w:jc w:val="right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1.</w:t>
            </w:r>
          </w:p>
        </w:tc>
        <w:tc>
          <w:tcPr>
            <w:tcW w:w="3665" w:type="dxa"/>
            <w:shd w:val="clear" w:color="auto" w:fill="auto"/>
          </w:tcPr>
          <w:p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Открытие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вебинара</w:t>
            </w:r>
          </w:p>
        </w:tc>
        <w:tc>
          <w:tcPr>
            <w:tcW w:w="1701" w:type="dxa"/>
            <w:shd w:val="clear" w:color="auto" w:fill="auto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11:00-11:05</w:t>
            </w:r>
          </w:p>
        </w:tc>
        <w:tc>
          <w:tcPr>
            <w:tcW w:w="3793" w:type="dxa"/>
            <w:shd w:val="clear" w:color="auto" w:fill="auto"/>
          </w:tcPr>
          <w:p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Елена Ефимова – ведущий специалист-эксперт отдела оказания государственных услуг</w:t>
            </w:r>
          </w:p>
          <w:p>
            <w:pPr>
              <w:shd w:val="clear" w:color="auto" w:fill="ffffff"/>
              <w:ind w:firstLine="34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>
        <w:tc>
          <w:tcPr>
            <w:tcW w:w="588" w:type="dxa"/>
            <w:shd w:val="clear" w:color="auto" w:fill="auto"/>
          </w:tcPr>
          <w:p>
            <w:pPr>
              <w:jc w:val="right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2.</w:t>
            </w:r>
          </w:p>
        </w:tc>
        <w:tc>
          <w:tcPr>
            <w:tcW w:w="3665" w:type="dxa"/>
            <w:shd w:val="clear" w:color="auto" w:fill="auto"/>
          </w:tcPr>
          <w:p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Порядок подачи документов для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регистрации и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прекращения деятельности в качестве 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ндивидуального предпринимателя</w:t>
            </w:r>
          </w:p>
        </w:tc>
        <w:tc>
          <w:tcPr>
            <w:tcW w:w="1701" w:type="dxa"/>
            <w:shd w:val="clear" w:color="auto" w:fill="auto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11:05-11:2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5</w:t>
            </w:r>
          </w:p>
          <w:p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3793" w:type="dxa"/>
            <w:shd w:val="clear" w:color="auto" w:fill="auto"/>
          </w:tcPr>
          <w:p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Юлия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Канарейкина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-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г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лавный специалист-эксперт отдела регистрации и учета налогоплательщиков    </w:t>
            </w:r>
          </w:p>
        </w:tc>
      </w:tr>
      <w:tr>
        <w:trPr>
          <w:trHeight w:val="1116"/>
        </w:trPr>
        <w:tc>
          <w:tcPr>
            <w:tcW w:w="588" w:type="dxa"/>
            <w:shd w:val="clear" w:color="auto" w:fill="auto"/>
          </w:tcPr>
          <w:p>
            <w:pPr>
              <w:jc w:val="right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3.</w:t>
            </w:r>
          </w:p>
        </w:tc>
        <w:tc>
          <w:tcPr>
            <w:tcW w:w="3665" w:type="dxa"/>
            <w:shd w:val="clear" w:color="auto" w:fill="auto"/>
          </w:tcPr>
          <w:p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Theme="minorHAnsi"/>
                <w:sz w:val="28"/>
                <w:szCs w:val="28"/>
                <w:lang w:eastAsia="en-US"/>
              </w:rPr>
              <w:t xml:space="preserve">Порядок и сроки представления резидентами РФ </w:t>
            </w:r>
            <w:r>
              <w:rPr>
                <w:rFonts w:ascii="Times New Roman" w:hAnsi="Times New Roman" w:eastAsiaTheme="minorHAnsi"/>
                <w:sz w:val="28"/>
                <w:szCs w:val="28"/>
                <w:lang w:eastAsia="en-US"/>
              </w:rPr>
              <w:t xml:space="preserve">–ф</w:t>
            </w:r>
            <w:r>
              <w:rPr>
                <w:rFonts w:ascii="Times New Roman" w:hAnsi="Times New Roman" w:eastAsiaTheme="minorHAnsi"/>
                <w:sz w:val="28"/>
                <w:szCs w:val="28"/>
                <w:lang w:eastAsia="en-US"/>
              </w:rPr>
              <w:t xml:space="preserve">изическими лицами отчетов о движении денежных средств в банках и иных организациях финансового рынка, расположенных за пределами РФ. Основные нарушения, допускаемые резидентами при составлении отчетности.</w:t>
            </w:r>
          </w:p>
        </w:tc>
        <w:tc>
          <w:tcPr>
            <w:tcW w:w="1701" w:type="dxa"/>
            <w:shd w:val="clear" w:color="auto" w:fill="auto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11:2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5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-11: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40</w:t>
            </w:r>
          </w:p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93" w:type="dxa"/>
            <w:shd w:val="clear" w:color="auto" w:fill="auto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Лариса Волкова - главный государственный налоговый инспектор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отдела камерального контроля НДФЛ и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СВ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№2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.</w:t>
            </w:r>
          </w:p>
        </w:tc>
      </w:tr>
      <w:tr>
        <w:trPr>
          <w:trHeight w:val="868"/>
        </w:trPr>
        <w:tc>
          <w:tcPr>
            <w:tcW w:w="588" w:type="dxa"/>
            <w:shd w:val="clear" w:color="auto" w:fill="auto"/>
          </w:tcPr>
          <w:p>
            <w:pPr>
              <w:jc w:val="right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.</w:t>
            </w:r>
          </w:p>
        </w:tc>
        <w:tc>
          <w:tcPr>
            <w:tcW w:w="3665" w:type="dxa"/>
            <w:shd w:val="clear" w:color="auto" w:fill="auto"/>
          </w:tcPr>
          <w:p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Ответы на вопросы участников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вебинара</w:t>
            </w:r>
          </w:p>
        </w:tc>
        <w:tc>
          <w:tcPr>
            <w:tcW w:w="1701" w:type="dxa"/>
            <w:shd w:val="clear" w:color="auto" w:fill="auto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11:4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-11: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45</w:t>
            </w:r>
          </w:p>
        </w:tc>
        <w:tc>
          <w:tcPr>
            <w:tcW w:w="3793" w:type="dxa"/>
            <w:shd w:val="clear" w:color="auto" w:fill="auto"/>
          </w:tcPr>
          <w:p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Специалисты УФНС России по Костромской области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и Центрального Банка</w:t>
            </w:r>
          </w:p>
        </w:tc>
      </w:tr>
    </w:tbl>
    <w:p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</w:p>
    <w:p>
      <w:pPr>
        <w:rPr>
          <w:sz w:val="24"/>
          <w:szCs w:val="24"/>
        </w:rPr>
      </w:pPr>
    </w:p>
    <w:p/>
    <w:p/>
    <w:p/>
    <w:sectPr>
      <w:pgSz w:h="16838" w:w="11906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a" w:default="1">
    <w:name w:val="Normal"/>
    <w:qFormat/>
    <w:pPr>
      <w:spacing w:after="0" w:line="240" w:lineRule="auto"/>
    </w:pPr>
    <w:rPr>
      <w:rFonts w:ascii="Calibri" w:hAnsi="Calibri" w:eastAsia="Times New Roman" w:cs="Times New Roman"/>
      <w:color w:val="000000"/>
      <w:szCs w:val="20"/>
      <w:lang w:eastAsia="ru-RU"/>
    </w:rPr>
  </w:style>
  <w:style w:type="character" w:styleId="a0" w:default="1">
    <w:name w:val="Default Paragraph Font"/>
    <w:uiPriority w:val="1"/>
    <w:semiHidden/>
    <w:unhideWhenUsed/>
  </w:style>
  <w:style w:type="table" w:styleId="a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a2" w:default="1">
    <w:name w:val="No List"/>
    <w:uiPriority w:val="99"/>
    <w:semiHidden/>
    <w:unhideWhenUsed/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Arial"/>
        <a:cs typeface="Arial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151</Words>
  <Characters>861</Characters>
  <CharactersWithSpaces>1010</CharactersWithSpaces>
  <Application>ONLYOFFICE/8.3.0.97</Application>
  <DocSecurity>0</DocSecurity>
  <Lines>7</Lines>
  <Paragraphs>2</Paragraphs>
  <ScaleCrop>0</ScaleCrop>
  <HeadingPairs>
    <vt:vector size="0" baseType="variant"/>
  </HeadingPairs>
  <TitlesOfParts>
    <vt:vector size="0" baseType="lpstr"/>
  </TitlesOfParts>
  <Company/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Рябова Надежда Витальевна</dc:creator>
  <cp:lastModifiedBy>Рябова Надежда Витальевна</cp:lastModifiedBy>
  <cp:revision>2</cp:revision>
  <dcterms:created xsi:type="dcterms:W3CDTF">2025-11-20T14:40:00Z</dcterms:created>
  <dcterms:modified xsi:type="dcterms:W3CDTF">2025-11-21T06:18:00Z</dcterms:modified>
</cp:coreProperties>
</file>